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84 vom 27. März 1986</w:t>
      </w:r>
    </w:p>
    <w:p>
      <w:r>
        <w:t>Bundesgericht (BGE), 1986-03-27, FR</w:t>
      </w:r>
    </w:p>
    <w:p>
      <w:r>
        <w:rPr>
          <w:b/>
        </w:rPr>
        <w:t xml:space="preserve">Quelle: </w:t>
      </w:r>
      <w:r>
        <w:t>https://mcp.opencaselaw.ch/entscheid/bge_117 IA 84</w:t>
      </w:r>
    </w:p>
    <w:p>
      <w:r>
        <w:t>FR: BGE 117 IA 84 du 27 mars 1986</w:t>
      </w:r>
    </w:p>
    <w:p>
      <w:r>
        <w:t>IT: BGE 117 IA 84 del 27 marzo 1986</w:t>
      </w:r>
    </w:p>
    <w:p>
      <w:pPr>
        <w:pStyle w:val="Heading2"/>
      </w:pPr>
      <w:r>
        <w:t>Regeste</w:t>
      </w:r>
    </w:p>
    <w:p>
      <w:r>
        <w:t>Regeste Art. 84 Abs. 2 und Art. 88 OG; Wirkungen der bedingten Entlassung aus dem Strafvollzug auf ein Begnadigungsgesuch. Eine Begnadigungsverweigerung kann beim Bundesgericht weder mit der eidgenössischen Nichtigkeits- noch mit der Verwaltungsgerichtsbeschwerde angefochten werden (E. 1a). Auch die staatsrechtliche Beschwerde ist grundsätzlich nicht gegeben, da es an einem rechtlich geschützten Interessen mangelt; doch kann der Betroffene damit die Verletzung von Parteirechten, die ihm im Bereich des Begnadigungsverfahrens in beschränktem Masse zustehen, geltend machen (E. 1b). Es ist nicht willkürlich, auf ein Begnadigungsgesuch nicht einzutreten, weil gegenstandslos geworden, wenn der Verurteilte bedingt aus dem Strafvollzug entlassen worden ist (E. 2).</w:t>
      </w:r>
    </w:p>
    <w:p>
      <w:pPr>
        <w:pStyle w:val="Heading2"/>
      </w:pPr>
      <w:r>
        <w:t>Erwägungen</w:t>
      </w:r>
    </w:p>
    <w:p>
      <w:r>
        <w:rPr>
          <w:b/>
        </w:rPr>
        <w:t>E. 1</w:t>
      </w:r>
    </w:p>
    <w:p>
      <w:r>
        <w:t>Le Tribunal fédéral examine d'office et avec une pleine cognition la recevabilité des recours qui lui sont soumis ( ATF 116 Ia 179 consid. 2). a) Selon l' art. 84 al. 2 OJ , le recours de droit public n'est recevable que si la violation alléguée ne peut pas être soumise par un autre moyen de droit quelconque au Tribunal fédéral ou à une autre autorité fédérale. Acte étatique sui generis, la décision d'octroi ou de refus de la grâce n'entre pas dans les catégories de décisions définies à l' art. 268 PPF ; le pourvoi en nullité n'est dès lors pas ouvert à son encontre (arrêt non publié du 28 janvier 1944 en la cause M. = JT 1944 IV 92; CORBOZ, Le pourvoi en nullité à la Cour de cassation du Tribunal fédéral, SJ 1991, p. 57 ss, 65). N'ayant pas non plus le caractère d'une décision au sens de l' art. 5 BGE 117 Ia 84 S. 86 PA , elle ne saurait faire l'objet d'un recours de droit administratif ( ATF 106 Ia 132 consid. 1a). Le recours de droit public serait, de ce point de vue, recevable. b) Les particuliers n'ont qualité pour agir par la voie du recours de droit public qu'en tant qu'ils ont un intérêt direct et juridiquement protégé à l'annulation de la décision attaquée ( art. 88 OJ ; ATF 114 Ia 311 consid. 3b). Lorsqu'il entend se plaindre de l'application arbitraire d'une norme, le recourant doit démontrer que celle-ci lui confère un droit ou tend à la protection de ses intérêts ( ATF 114 Ia 383 consid. 2c). Les art. 394 à 396 CP ne déterminent pas les conditions auxquelles est subordonné l'octroi de la grâce. Sont décisives à cet égard des considérations étrangères à l'appréciation des preuves, à l'application du droit et aux principes régissant la fixation de la peine, considérations qui, selon les cas, peuvent même être de nature purement politique. L'autorité compétente pour examiner la demande de grâce jouit d'un très grand pouvoir d'appréciation. Au contraire de l'accusé qui peut prétendre à l'acquittement au bénéfice du doute, nul n'a un droit à la grâce ( ATF 95 I 543 consid. 1 = JT 1970 IV 88). Le recours de droit public n'est donc en principe pas ouvert, faute d'un intérêt juridiquement protégé, contre l'acte étatique par lequel la demande en grâce est rejetée ( ATF 106 Ia 132 consid. 1a, arrêt non publié du 28 septembre 1990 en la cause K.). Selon la jurisprudence, le particulier qui n'a pas la qualité pour agir au fond peut, par la voie du recours de droit public, se plaindre de la violation de droits qui lui sont reconnus par la législation cantonale ou de droits découlant de l' art. 4 Cst. lorsqu'une telle violation équivaut à un déni de justice formel ( ATF 115 Ia 79 consid. 1d). S'agissant de la grâce, le condamné ne dispose toutefois que de droits procéduraux restreints. Ainsi, dès lors que l'autorité n'est pas tenue de motiver sa décision ( ATF 107 Ia 103 = JT 1982 IV 143), il ne saurait faire valoir une violation de son droit d'être entendu stricto sensu (LANGUIN, LUCCO-DÉNÉRÉAZ, ROBERT et ROTH, La grâce, institution entre tradition et changements, Lausanne 1988, p. 27). En revanche, il peut se plaindre de ce que l'autorité aurait déclaré à tort sa demande irrecevable ( ATF 106 Ia 132 consid. 1a). Tel est le grief soulevé par le recourant; il convient donc d'entrer en matière.</w:t>
      </w:r>
    </w:p>
    <w:p>
      <w:r>
        <w:rPr>
          <w:b/>
        </w:rPr>
        <w:t>E. 2</w:t>
      </w:r>
    </w:p>
    <w:p>
      <w:r>
        <w:t>S'appuyant sur sa jurisprudence, le Conseil d'Etat a estimé que le recours en grâce était devenu irrecevable parce que sans objet, L. ayant obtenu la libération conditionnelle avant que BGE 117 Ia 84 S. 87 l'autorité ait pu statuer sur sa demande. Le recourant soutient que l'autorité intimée aurait ainsi arbitrairement appliqué les art. 395 et 396 CP et commis un déni de justice formel. a) Selon l' art. 396 CP , par l'effet de la grâce, toutes les peines prononcées par un jugement passé en force peuvent être remises, totalement ou partiellement, ou commuées en peines plus douces (al. 1). L'étendue de la grâce est déterminée par l'acte qui l'accorde (al. 2). La grâce se définit comme une renonciation de l'Etat, totale ou partielle, conditionnelle ou non, à l'exécution d'une peine (STRATENWERTH, Schweizerisches Strafrecht, Berne 1989, p. 284). A l'instar du sursis ou de la libération conditionnelle, l'octroi de la grâce ne concerne que l'exécution de la peine et n'a pas pour effet d'annuler le jugement pénal, lequel reste notamment inscrit au casier judiciaire ( ATF 84 IV 139 ). L'on ne voit dès lors pas quel intérêt pourrait avoir le requérant à ce qu'il soit statué sur sa demande de grâce alors qu'il n'a plus à exécuter la peine privative de liberté à laquelle il a été condamné. En outre, le recourant n'ayant pas étendu sa demande de grâce à l'expulsion prononcée à son encontre, point n'est besoin de rechercher s'il aurait eu un intérêt à ce que le Conseil d'Etat statue sur ce point. b) Selon le recourant, un tel intérêt pourrait exister dans le cas où, libéré conditionnellement, il ne pourrait ou ne voudrait pas se soumettre aux conditions auxquelles était subordonnée sa mise en liberté. Cet argument ne suffit pas à démontrer l'intérêt actuel du recourant à l'octroi d'une telle mesure. En effet, si la libération conditionnelle devait être révoquée et la réintégration ordonnée ( art. 38 ch. 4 CP ), il aurait la faculté de renouveler sa demande en grâce et de solliciter que la mise à exécution soit différée jusqu'au moment où l'autorité aurait statué sur sa demande. La pratique se fonde aussi à juste titre sur la considération que la libération conditionnelle rend la grâce superflue. Ainsi, lorsque l'autorité investie du droit de grâce constate que les conditions légales à l'octroi de la libération conditionnelle sont remplies, elle peut renvoyer la demande à l'autorité compétente pour en connaître (CLERC, De l'exercice du droit de grâce par les cantons sous l'empire du CPS, RPS 1958, p. 108). En revanche, lorsque cette libération conditionnelle a déjà été accordée, l'autorité de grâce peut sans arbitraire considérer que la demande en grâce est devenue sans objet, ou à tout le moins que le recourant n'a pas d'intérêt actuel à son admission (cf. PANCHAUD, OCHSENBEIN, VAN RUYMBEKE, Code pénal annoté, Lausanne 1989, note ad.art. 396). BGE 117 Ia 84 S. 88 Le recourant semble partir du principe qu'il pourrait bénéficier d'une grâce inconditionnelle. Or, cette mesure est souvent assortie de conditions destinées à susciter de la part du condamné un comportement conforme à la loi, comme l'autorité peut le prévoir en cas de sursis ( art. 41 ch. 2 CP ) ou de libération conditionnelle ( art. 38 ch. 2 et 3 CP ; ATF 84 IV 195 = JdT 1959 IV 34; REAL, Die Begnadigung im Kanton Aargau, thèse, Zurich 1981, p. 100 ss); c'est une possibilité à laquelle les autorités vaudoises recourent fréquemment (LANGUIN ET AL., op.cit., p. 25, 59). Lorsque ces conditions coïncident avec celles de la libération conditionnelle, le condamné n'a aucun intérêt à l'octroi d'une grâce qui ne lui conférerait aucun avantage supplémentaire. Dans les situations équivalentes, où le recourant ne peut invoquer aucun intérêt pratique actuel à l'admission de son recours, le Tribunal fédéral n'entre pas non plus en matière sur les recours qui lui sont adressés ( art. 88 et 103 OJ ; ATF 111 Ib 56 , ATF 109 Ia 169 , ATF 106 Ia 151 ). Cela étant, le Conseil d'Etat n'a commis aucun déni de justice en déclarant la demande du recourant irrecevable. Le recours s'avère donc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